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業務資料比對與轉換率分析系統 - 邏輯規格書 (v1.0)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文件日期：2026-01-09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適用範圍：半導體製造業銷售漏斗分析 (Sales Pipeline Analysis)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部署環境：On-Premise (地端)</w:t>
      </w:r>
    </w:p>
    <w:p w:rsidR="00000000" w:rsidDel="00000000" w:rsidP="00000000" w:rsidRDefault="00000000" w:rsidRPr="00000000" w14:paraId="00000005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1. 資料源與 ETL 前處理策略 (Data Ingestion)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 Text" w:cs="Google Sans Text" w:eastAsia="Google Sans Text" w:hAnsi="Google Sans Text"/>
          <w:color w:val="1f1f1f"/>
        </w:rPr>
      </w:pP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系統針對三份異質資料來源進行標準化清洗，具備「動態表頭偵測」能力以適應 ERP 匯出的非結構化報表。</w:t>
      </w:r>
    </w:p>
    <w:p w:rsidR="00000000" w:rsidDel="00000000" w:rsidP="00000000" w:rsidRDefault="00000000" w:rsidRPr="00000000" w14:paraId="0000000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1.1 資料來源定義</w:t>
      </w:r>
    </w:p>
    <w:tbl>
      <w:tblPr>
        <w:tblStyle w:val="Table1"/>
        <w:jc w:val="left"/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</w:tbl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2340"/>
        <w:gridCol w:w="2340"/>
        <w:gridCol w:w="2340"/>
        <w:gridCol w:w="2340"/>
        <w:tblGridChange w:id="0">
          <w:tblGrid>
            <w:gridCol w:w="2340"/>
            <w:gridCol w:w="2340"/>
            <w:gridCol w:w="2340"/>
            <w:gridCol w:w="234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color w:val="1f1f1f"/>
                <w:shd w:fill="auto" w:val="clear"/>
                <w:rtl w:val="0"/>
              </w:rPr>
              <w:t xml:space="preserve">資料類型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color w:val="1f1f1f"/>
                <w:shd w:fill="auto" w:val="clear"/>
                <w:rtl w:val="0"/>
              </w:rPr>
              <w:t xml:space="preserve">檔案特徵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color w:val="1f1f1f"/>
                <w:shd w:fill="auto" w:val="clear"/>
                <w:rtl w:val="0"/>
              </w:rPr>
              <w:t xml:space="preserve">關鍵欄位識別 (Key Columns)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color w:val="1f1f1f"/>
                <w:shd w:fill="auto" w:val="clear"/>
                <w:rtl w:val="0"/>
              </w:rPr>
              <w:t xml:space="preserve">處理邏輯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color w:val="1f1f1f"/>
                <w:shd w:fill="auto" w:val="clear"/>
                <w:rtl w:val="0"/>
              </w:rPr>
              <w:t xml:space="preserve">DIT Report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color w:val="1f1f1f"/>
                <w:shd w:fill="auto" w:val="clear"/>
                <w:rtl w:val="0"/>
              </w:rPr>
              <w:t xml:space="preserve">含 Metadata (前 ~15 行)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color w:val="1f1f1f"/>
                <w:shd w:fill="auto" w:val="clear"/>
                <w:rtl w:val="0"/>
              </w:rPr>
              <w:t xml:space="preserve">R欄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color w:val="1f1f1f"/>
                <w:shd w:fill="auto" w:val="clear"/>
                <w:rtl w:val="0"/>
              </w:rPr>
              <w:t xml:space="preserve"> (Opportunity ID), 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color w:val="1f1f1f"/>
                <w:shd w:fill="auto" w:val="clear"/>
                <w:rtl w:val="0"/>
              </w:rPr>
              <w:t xml:space="preserve">AQ欄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color w:val="1f1f1f"/>
                <w:shd w:fill="auto" w:val="clear"/>
                <w:rtl w:val="0"/>
              </w:rPr>
              <w:t xml:space="preserve"> (ERP Account), Customer, Part No, EAU, Stage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color w:val="1f1f1f"/>
                <w:shd w:fill="auto" w:val="clear"/>
                <w:rtl w:val="0"/>
              </w:rPr>
              <w:t xml:space="preserve">自動跳過 Metadata，定位至 "Stage/Part" 所在行作為表頭。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color w:val="1f1f1f"/>
                <w:shd w:fill="auto" w:val="clear"/>
                <w:rtl w:val="0"/>
              </w:rPr>
              <w:t xml:space="preserve">樣品紀錄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color w:val="1f1f1f"/>
                <w:shd w:fill="auto" w:val="clear"/>
                <w:rtl w:val="0"/>
              </w:rPr>
              <w:t xml:space="preserve">含 Metadata (前 ~8 行)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color w:val="1f1f1f"/>
                <w:shd w:fill="auto" w:val="clear"/>
                <w:rtl w:val="0"/>
              </w:rPr>
              <w:t xml:space="preserve">AU欄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color w:val="1f1f1f"/>
                <w:shd w:fill="auto" w:val="clear"/>
                <w:rtl w:val="0"/>
              </w:rPr>
              <w:t xml:space="preserve"> (Oppy No), 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color w:val="1f1f1f"/>
                <w:shd w:fill="auto" w:val="clear"/>
                <w:rtl w:val="0"/>
              </w:rPr>
              <w:t xml:space="preserve">G欄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color w:val="1f1f1f"/>
                <w:shd w:fill="auto" w:val="clear"/>
                <w:rtl w:val="0"/>
              </w:rPr>
              <w:t xml:space="preserve"> (Cust ID), Customer, Part No, Qty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color w:val="1f1f1f"/>
                <w:shd w:fill="auto" w:val="clear"/>
                <w:rtl w:val="0"/>
              </w:rPr>
              <w:t xml:space="preserve">自動跳過 Metadata，定位至 "索樣數量" 所在行。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color w:val="1f1f1f"/>
                <w:shd w:fill="auto" w:val="clear"/>
                <w:rtl w:val="0"/>
              </w:rPr>
              <w:t xml:space="preserve">訂單明細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color w:val="1f1f1f"/>
                <w:shd w:fill="auto" w:val="clear"/>
                <w:rtl w:val="0"/>
              </w:rPr>
              <w:t xml:space="preserve">標準格式 (第 1 行)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color w:val="1f1f1f"/>
                <w:shd w:fill="auto" w:val="clear"/>
                <w:rtl w:val="0"/>
              </w:rPr>
              <w:t xml:space="preserve">Order No, Customer, Part No, Qty, Status (Backlog/Shipped)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color w:val="1f1f1f"/>
                <w:shd w:fill="auto" w:val="clear"/>
                <w:rtl w:val="0"/>
              </w:rPr>
              <w:t xml:space="preserve">識別 Big5/CP950 編碼，標準化讀取。</w:t>
            </w:r>
          </w:p>
        </w:tc>
      </w:tr>
    </w:tbl>
    <w:p w:rsidR="00000000" w:rsidDel="00000000" w:rsidP="00000000" w:rsidRDefault="00000000" w:rsidRPr="00000000" w14:paraId="00000019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48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1.2 資料清洗規則 (Sanitization)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Part Number (PN)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: 去除所有分隔符 (-, _, )，統一轉大寫。例：PMSM-808-LL ➔ PMSM808LL。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Customer Name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: 移除法律實體後綴 (如 "Inc.", "Co., Ltd")，全形轉半形，統一轉大寫。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日期格式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: 統一轉換為 YYYY-MM-DD，無效日期視為 Null。</w:t>
      </w:r>
    </w:p>
    <w:p w:rsidR="00000000" w:rsidDel="00000000" w:rsidP="00000000" w:rsidRDefault="00000000" w:rsidRPr="00000000" w14:paraId="0000001D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2. 核心比對引擎 (Matching Engine) - 瀑布式邏輯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 Text" w:cs="Google Sans Text" w:eastAsia="Google Sans Text" w:hAnsi="Google Sans Text"/>
          <w:color w:val="1f1f1f"/>
        </w:rPr>
      </w:pP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為解決客戶名稱不一致（如別名、子公司）問題，系統採用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三層級瀑布式比對 (Waterfall Matching)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。優先級由高至低，一旦上層匹配成功，即鎖定關聯，不再向下尋找。</w:t>
      </w:r>
    </w:p>
    <w:p w:rsidR="00000000" w:rsidDel="00000000" w:rsidP="00000000" w:rsidRDefault="00000000" w:rsidRPr="00000000" w14:paraId="0000001F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優先級 1：案號精準比對 (Golden Key) 🥇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邏輯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：直接透過 CRM/ERP 系統生成的唯一案號進行勾稽。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對應欄位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</w:t>
      </w:r>
    </w:p>
    <w:p w:rsidR="00000000" w:rsidDel="00000000" w:rsidP="00000000" w:rsidRDefault="00000000" w:rsidRPr="00000000" w14:paraId="00000022">
      <w:pPr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870" w:hanging="360"/>
      </w:pP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DIT Report: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R 欄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 (Opportunity ID / 案號)</w:t>
      </w:r>
    </w:p>
    <w:p w:rsidR="00000000" w:rsidDel="00000000" w:rsidP="00000000" w:rsidRDefault="00000000" w:rsidRPr="00000000" w14:paraId="00000023">
      <w:pPr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870" w:hanging="360"/>
      </w:pP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Sample Log: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AU 欄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 (Oppy No)</w:t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信心水準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100%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 (絕對準確)</w:t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適用情境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：業務在申請樣品時已正確填寫案號。</w:t>
      </w:r>
    </w:p>
    <w:p w:rsidR="00000000" w:rsidDel="00000000" w:rsidP="00000000" w:rsidRDefault="00000000" w:rsidRPr="00000000" w14:paraId="00000026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優先級 2：客戶代碼比對 (Silver Key) 🥈</w:t>
      </w:r>
    </w:p>
    <w:p w:rsidR="00000000" w:rsidDel="00000000" w:rsidP="00000000" w:rsidRDefault="00000000" w:rsidRPr="00000000" w14:paraId="00000027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邏輯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：若無案號，則比對 ERP 客戶代碼 (Account Number)。</w:t>
      </w:r>
    </w:p>
    <w:p w:rsidR="00000000" w:rsidDel="00000000" w:rsidP="00000000" w:rsidRDefault="00000000" w:rsidRPr="00000000" w14:paraId="00000028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對應欄位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</w:t>
      </w:r>
    </w:p>
    <w:p w:rsidR="00000000" w:rsidDel="00000000" w:rsidP="00000000" w:rsidRDefault="00000000" w:rsidRPr="00000000" w14:paraId="00000029">
      <w:pPr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870" w:hanging="360"/>
      </w:pP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DIT Report: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AQ 欄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 (ERP Account No)</w:t>
      </w:r>
    </w:p>
    <w:p w:rsidR="00000000" w:rsidDel="00000000" w:rsidP="00000000" w:rsidRDefault="00000000" w:rsidRPr="00000000" w14:paraId="0000002A">
      <w:pPr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870" w:hanging="360"/>
      </w:pP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Sample Log: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G 欄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 (客戶編號)</w:t>
      </w:r>
    </w:p>
    <w:p w:rsidR="00000000" w:rsidDel="00000000" w:rsidP="00000000" w:rsidRDefault="00000000" w:rsidRPr="00000000" w14:paraId="0000002B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信心水準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99%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 (解決同名異字問題，如 "Liteon" vs "光寶")。</w:t>
      </w:r>
    </w:p>
    <w:p w:rsidR="00000000" w:rsidDel="00000000" w:rsidP="00000000" w:rsidRDefault="00000000" w:rsidRPr="00000000" w14:paraId="0000002C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限制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：需同時滿足 Account Match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AND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 Normalized Part Number Match。</w:t>
      </w:r>
    </w:p>
    <w:p w:rsidR="00000000" w:rsidDel="00000000" w:rsidP="00000000" w:rsidRDefault="00000000" w:rsidRPr="00000000" w14:paraId="0000002D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優先級 3：名稱模糊比對 (Fallback Mechanism) 🥉</w:t>
      </w:r>
    </w:p>
    <w:p w:rsidR="00000000" w:rsidDel="00000000" w:rsidP="00000000" w:rsidRDefault="00000000" w:rsidRPr="00000000" w14:paraId="0000002E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邏輯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：前兩者皆空值時，使用 Levenshtein Distance 演算法計算名稱相似度。</w:t>
      </w:r>
    </w:p>
    <w:p w:rsidR="00000000" w:rsidDel="00000000" w:rsidP="00000000" w:rsidRDefault="00000000" w:rsidRPr="00000000" w14:paraId="0000002F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對應欄位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：Customer Name vs 客戶名稱</w:t>
      </w:r>
    </w:p>
    <w:p w:rsidR="00000000" w:rsidDel="00000000" w:rsidP="00000000" w:rsidRDefault="00000000" w:rsidRPr="00000000" w14:paraId="00000030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信心水準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80% ~ 90%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 (不確定性高)</w:t>
      </w:r>
    </w:p>
    <w:p w:rsidR="00000000" w:rsidDel="00000000" w:rsidP="00000000" w:rsidRDefault="00000000" w:rsidRPr="00000000" w14:paraId="00000031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處理機制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：系統標記為 Pending Review，強制進入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Human-in-the-Loop (人工審核)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 流程，需人工確認後才計入績效。</w:t>
      </w:r>
    </w:p>
    <w:p w:rsidR="00000000" w:rsidDel="00000000" w:rsidP="00000000" w:rsidRDefault="00000000" w:rsidRPr="00000000" w14:paraId="0000003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ind w:left="600" w:right="600" w:firstLine="0"/>
        <w:rPr>
          <w:rFonts w:ascii="Google Sans Text" w:cs="Google Sans Text" w:eastAsia="Google Sans Text" w:hAnsi="Google Sans Text"/>
          <w:color w:val="1f1f1f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註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：訂單 (Order) 資料通常無 Oppy ID，故訂單比對主要依賴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Priority 2 (Account + PN)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 與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Priority 3 (Name + PN)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。</w:t>
      </w:r>
    </w:p>
    <w:p w:rsidR="00000000" w:rsidDel="00000000" w:rsidP="00000000" w:rsidRDefault="00000000" w:rsidRPr="00000000" w14:paraId="00000033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3. 歸因與時間窗邏輯 (Attribution &amp; Time Window)</w:t>
      </w:r>
    </w:p>
    <w:p w:rsidR="00000000" w:rsidDel="00000000" w:rsidP="00000000" w:rsidRDefault="00000000" w:rsidRPr="00000000" w14:paraId="0000003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 Text" w:cs="Google Sans Text" w:eastAsia="Google Sans Text" w:hAnsi="Google Sans Text"/>
          <w:color w:val="1f1f1f"/>
        </w:rPr>
      </w:pP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定義「何時」發生的送樣與訂單可以算在該 DIT 的績效上。</w:t>
      </w:r>
    </w:p>
    <w:p w:rsidR="00000000" w:rsidDel="00000000" w:rsidP="00000000" w:rsidRDefault="00000000" w:rsidRPr="00000000" w14:paraId="0000003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3.1 時間窗 (Time Window)</w:t>
      </w:r>
    </w:p>
    <w:p w:rsidR="00000000" w:rsidDel="00000000" w:rsidP="00000000" w:rsidRDefault="00000000" w:rsidRPr="00000000" w14:paraId="00000036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DIT → Sample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:</w:t>
      </w:r>
    </w:p>
    <w:p w:rsidR="00000000" w:rsidDel="00000000" w:rsidP="00000000" w:rsidRDefault="00000000" w:rsidRPr="00000000" w14:paraId="00000037">
      <w:pPr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870" w:hanging="360"/>
      </w:pP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Sample Date 必須在 DIT Date 的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前 30 天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 (容許先跑流程後補單) 至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今日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 之間。</w:t>
      </w:r>
    </w:p>
    <w:p w:rsidR="00000000" w:rsidDel="00000000" w:rsidP="00000000" w:rsidRDefault="00000000" w:rsidRPr="00000000" w14:paraId="00000038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DIT → Order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:</w:t>
      </w:r>
    </w:p>
    <w:p w:rsidR="00000000" w:rsidDel="00000000" w:rsidP="00000000" w:rsidRDefault="00000000" w:rsidRPr="00000000" w14:paraId="00000039">
      <w:pPr>
        <w:numPr>
          <w:ilvl w:val="1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870" w:hanging="360"/>
      </w:pP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Order Date 必須在 DIT Date (或 First Sample Date) 的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前 30 天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 之後。</w:t>
      </w:r>
    </w:p>
    <w:p w:rsidR="00000000" w:rsidDel="00000000" w:rsidP="00000000" w:rsidRDefault="00000000" w:rsidRPr="00000000" w14:paraId="0000003A">
      <w:pPr>
        <w:numPr>
          <w:ilvl w:val="1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870" w:hanging="360"/>
      </w:pP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目的：排除 DIT 建立很久之前的舊訂單（那些屬於舊案子維護，非新開發案）。</w:t>
      </w:r>
    </w:p>
    <w:p w:rsidR="00000000" w:rsidDel="00000000" w:rsidP="00000000" w:rsidRDefault="00000000" w:rsidRPr="00000000" w14:paraId="0000003B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3.2 多對多歸因法則 (LIFO Logic)</w:t>
      </w:r>
    </w:p>
    <w:p w:rsidR="00000000" w:rsidDel="00000000" w:rsidP="00000000" w:rsidRDefault="00000000" w:rsidRPr="00000000" w14:paraId="0000003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 Text" w:cs="Google Sans Text" w:eastAsia="Google Sans Text" w:hAnsi="Google Sans Text"/>
          <w:color w:val="1f1f1f"/>
        </w:rPr>
      </w:pP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針對「同一客戶、同一料號」有多筆 DIT 的情況，採用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LIFO (Last-In-First-Out) 庫存扣抵法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 進行業績分配：</w:t>
      </w:r>
    </w:p>
    <w:p w:rsidR="00000000" w:rsidDel="00000000" w:rsidP="00000000" w:rsidRDefault="00000000" w:rsidRPr="00000000" w14:paraId="0000003D">
      <w:pPr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80" w:hanging="360"/>
      </w:pP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將同料號的 DIT 按建立日期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由新到舊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 排序。</w:t>
      </w:r>
    </w:p>
    <w:p w:rsidR="00000000" w:rsidDel="00000000" w:rsidP="00000000" w:rsidRDefault="00000000" w:rsidRPr="00000000" w14:paraId="0000003E">
      <w:pPr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將該料號的總訂單量 (Backlog + Shipped) 放入「業績池 (Revenue Pool)」。</w:t>
      </w:r>
    </w:p>
    <w:p w:rsidR="00000000" w:rsidDel="00000000" w:rsidP="00000000" w:rsidRDefault="00000000" w:rsidRPr="00000000" w14:paraId="0000003F">
      <w:pPr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優先滿足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最新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 的 DIT EAU 額度。</w:t>
      </w:r>
    </w:p>
    <w:p w:rsidR="00000000" w:rsidDel="00000000" w:rsidP="00000000" w:rsidRDefault="00000000" w:rsidRPr="00000000" w14:paraId="00000040">
      <w:pPr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若有剩餘業績，再分配給次新的 DIT，依此類推。</w:t>
      </w:r>
    </w:p>
    <w:p w:rsidR="00000000" w:rsidDel="00000000" w:rsidP="00000000" w:rsidRDefault="00000000" w:rsidRPr="00000000" w14:paraId="00000041">
      <w:pPr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目的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：確保業績優先反映在最新的開發專案上，避免舊案子無限期佔用新訂單的功勞。</w:t>
      </w:r>
    </w:p>
    <w:p w:rsidR="00000000" w:rsidDel="00000000" w:rsidP="00000000" w:rsidRDefault="00000000" w:rsidRPr="00000000" w14:paraId="00000042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4. 關鍵績效指標定義 (KPI Definitions)</w:t>
      </w:r>
    </w:p>
    <w:p w:rsidR="00000000" w:rsidDel="00000000" w:rsidP="00000000" w:rsidRDefault="00000000" w:rsidRPr="00000000" w14:paraId="0000004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 Text" w:cs="Google Sans Text" w:eastAsia="Google Sans Text" w:hAnsi="Google Sans Text"/>
          <w:color w:val="1f1f1f"/>
        </w:rPr>
      </w:pP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系統最終產出的量化指標，用於衡量業務轉換效率。</w:t>
      </w:r>
    </w:p>
    <w:tbl>
      <w:tblPr>
        <w:tblStyle w:val="Table3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color w:val="1f1f1f"/>
                <w:shd w:fill="auto" w:val="clear"/>
                <w:rtl w:val="0"/>
              </w:rPr>
              <w:t xml:space="preserve">指標名稱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color w:val="1f1f1f"/>
                <w:shd w:fill="auto" w:val="clear"/>
                <w:rtl w:val="0"/>
              </w:rPr>
              <w:t xml:space="preserve">計算公式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color w:val="1f1f1f"/>
                <w:shd w:fill="auto" w:val="clear"/>
                <w:rtl w:val="0"/>
              </w:rPr>
              <w:t xml:space="preserve">業務意涵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color w:val="1f1f1f"/>
                <w:shd w:fill="auto" w:val="clear"/>
                <w:rtl w:val="0"/>
              </w:rPr>
              <w:t xml:space="preserve">送樣轉換率 (Sample Rate)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color w:val="1f1f1f"/>
                <w:shd w:fill="auto" w:val="clear"/>
                <w:rtl w:val="0"/>
              </w:rPr>
              <w:t xml:space="preserve">(有匹配到樣品的 DIT 數) / (總 DIT 數)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color w:val="1f1f1f"/>
                <w:shd w:fill="auto" w:val="clear"/>
                <w:rtl w:val="0"/>
              </w:rPr>
              <w:t xml:space="preserve">衡量前端 Design-In 開案後，成功推進到送樣階段的能力。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color w:val="1f1f1f"/>
                <w:shd w:fill="auto" w:val="clear"/>
                <w:rtl w:val="0"/>
              </w:rPr>
              <w:t xml:space="preserve">訂單命中率 (Hit Rate)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color w:val="1f1f1f"/>
                <w:shd w:fill="auto" w:val="clear"/>
                <w:rtl w:val="0"/>
              </w:rPr>
              <w:t xml:space="preserve">(有匹配到訂單的 DIT 數) / (總 DIT 數)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color w:val="1f1f1f"/>
                <w:shd w:fill="auto" w:val="clear"/>
                <w:rtl w:val="0"/>
              </w:rPr>
              <w:t xml:space="preserve">衡量開發案最終轉化為實際營收的成功率 (Binary)。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color w:val="1f1f1f"/>
                <w:shd w:fill="auto" w:val="clear"/>
                <w:rtl w:val="0"/>
              </w:rPr>
              <w:t xml:space="preserve">EAU 達成率 (Fulfillment Rate)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color w:val="1f1f1f"/>
                <w:shd w:fill="auto" w:val="clear"/>
                <w:rtl w:val="0"/>
              </w:rPr>
              <w:t xml:space="preserve">(歸因之訂單總量) / (DIT 預估 EAU)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color w:val="1f1f1f"/>
                <w:shd w:fill="auto" w:val="clear"/>
                <w:rtl w:val="0"/>
              </w:rPr>
              <w:t xml:space="preserve">衡量客戶預估量 (Forecast) 的準確度與實際拉貨力道。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color w:val="1f1f1f"/>
                <w:shd w:fill="auto" w:val="clear"/>
                <w:rtl w:val="0"/>
              </w:rPr>
              <w:t xml:space="preserve">無效送樣率 (Orphan Sample)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color w:val="1f1f1f"/>
                <w:shd w:fill="auto" w:val="clear"/>
                <w:rtl w:val="0"/>
              </w:rPr>
              <w:t xml:space="preserve">(未匹配到 DIT 的送樣數) / (總送樣數)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color w:val="1f1f1f"/>
                <w:shd w:fill="auto" w:val="clear"/>
                <w:rtl w:val="0"/>
              </w:rPr>
              <w:t xml:space="preserve">監控是否有「偷跑」或「未立案」即送樣的資源浪費行為。</w:t>
            </w:r>
          </w:p>
        </w:tc>
      </w:tr>
    </w:tbl>
    <w:p w:rsidR="00000000" w:rsidDel="00000000" w:rsidP="00000000" w:rsidRDefault="00000000" w:rsidRPr="00000000" w14:paraId="00000053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48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5. 系統輸出與審核</w:t>
      </w:r>
    </w:p>
    <w:p w:rsidR="00000000" w:rsidDel="00000000" w:rsidP="00000000" w:rsidRDefault="00000000" w:rsidRPr="00000000" w14:paraId="00000054">
      <w:pPr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DIT 歸因明細表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：每一列 DIT 清楚標示匹配到的 Sample No 與 Order No。</w:t>
      </w:r>
    </w:p>
    <w:p w:rsidR="00000000" w:rsidDel="00000000" w:rsidP="00000000" w:rsidRDefault="00000000" w:rsidRPr="00000000" w14:paraId="00000055">
      <w:pPr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可追溯性 (Traceability)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：滑鼠懸停 (Hover) 可顯示匹配邏輯來源 (如 "Matched via Opportunity ID: OP12345")。</w:t>
      </w:r>
    </w:p>
    <w:p w:rsidR="00000000" w:rsidDel="00000000" w:rsidP="00000000" w:rsidRDefault="00000000" w:rsidRPr="00000000" w14:paraId="00000056">
      <w:pPr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color w:val="1f1f1f"/>
          <w:rtl w:val="0"/>
        </w:rPr>
        <w:t xml:space="preserve">人工介入</w:t>
      </w:r>
      <w:r w:rsidDel="00000000" w:rsidR="00000000" w:rsidRPr="00000000">
        <w:rPr>
          <w:rFonts w:ascii="Google Sans Text" w:cs="Google Sans Text" w:eastAsia="Google Sans Text" w:hAnsi="Google Sans Text"/>
          <w:color w:val="1f1f1f"/>
          <w:rtl w:val="0"/>
        </w:rPr>
        <w:t xml:space="preserve">：對於模糊比對的案件，提供 UI 介面供使用者點選 Accept / Reject，並將結果回寫至資料庫，作為日後自動比對的訓練樣本。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6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7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8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9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10">
    <w:lvl w:ilvl="0">
      <w:start w:val="1"/>
      <w:numFmt w:val="decimal"/>
      <w:lvlText w:val="%1."/>
      <w:lvlJc w:val="left"/>
      <w:pPr>
        <w:ind w:left="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11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12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